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9B6" w:rsidRPr="005019B6" w:rsidRDefault="006E2FC9" w:rsidP="005019B6">
      <w:pPr>
        <w:autoSpaceDE w:val="0"/>
        <w:autoSpaceDN w:val="0"/>
        <w:adjustRightInd w:val="0"/>
        <w:spacing w:after="0" w:line="240" w:lineRule="auto"/>
        <w:jc w:val="center"/>
        <w:rPr>
          <w:rFonts w:ascii="MS Shell Dlg 2" w:hAnsi="MS Shell Dlg 2" w:cs="MS Shell Dlg 2"/>
          <w:sz w:val="40"/>
          <w:szCs w:val="40"/>
          <w:u w:val="single"/>
        </w:rPr>
      </w:pPr>
      <w:r w:rsidRPr="00C163E6">
        <w:rPr>
          <w:rFonts w:ascii="MS Shell Dlg 2" w:hAnsi="MS Shell Dlg 2" w:cs="MS Shell Dlg 2"/>
          <w:noProof/>
          <w:sz w:val="40"/>
          <w:szCs w:val="40"/>
          <w:u w:val="single"/>
        </w:rPr>
        <w:drawing>
          <wp:anchor distT="0" distB="0" distL="114300" distR="114300" simplePos="0" relativeHeight="251658240" behindDoc="0" locked="0" layoutInCell="1" allowOverlap="1" wp14:anchorId="771D5EE7" wp14:editId="3CCEB1C3">
            <wp:simplePos x="2181225" y="895350"/>
            <wp:positionH relativeFrom="margin">
              <wp:align>left</wp:align>
            </wp:positionH>
            <wp:positionV relativeFrom="margin">
              <wp:align>top</wp:align>
            </wp:positionV>
            <wp:extent cx="304800" cy="30480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pic:spPr>
                </pic:pic>
              </a:graphicData>
            </a:graphic>
          </wp:anchor>
        </w:drawing>
      </w:r>
      <w:r w:rsidR="00C97066">
        <w:rPr>
          <w:rFonts w:ascii="MS Shell Dlg 2" w:hAnsi="MS Shell Dlg 2" w:cs="MS Shell Dlg 2"/>
          <w:noProof/>
          <w:sz w:val="40"/>
          <w:szCs w:val="40"/>
          <w:u w:val="single"/>
        </w:rPr>
        <w:t>Coefficient d’absorption</w:t>
      </w:r>
      <w:r w:rsidR="00A55C81">
        <w:rPr>
          <w:rFonts w:ascii="MS Shell Dlg 2" w:hAnsi="MS Shell Dlg 2" w:cs="MS Shell Dlg 2"/>
          <w:noProof/>
          <w:sz w:val="40"/>
          <w:szCs w:val="40"/>
          <w:u w:val="single"/>
        </w:rPr>
        <w:t xml:space="preserve"> pour le</w:t>
      </w:r>
      <w:r w:rsidR="00513B6C">
        <w:rPr>
          <w:rFonts w:ascii="MS Shell Dlg 2" w:hAnsi="MS Shell Dlg 2" w:cs="MS Shell Dlg 2"/>
          <w:noProof/>
          <w:sz w:val="40"/>
          <w:szCs w:val="40"/>
          <w:u w:val="single"/>
        </w:rPr>
        <w:t xml:space="preserve"> </w:t>
      </w:r>
      <w:r w:rsidR="0092130D">
        <w:rPr>
          <w:rFonts w:ascii="MS Shell Dlg 2" w:hAnsi="MS Shell Dlg 2" w:cs="MS Shell Dlg 2"/>
          <w:noProof/>
          <w:sz w:val="40"/>
          <w:szCs w:val="40"/>
          <w:u w:val="single"/>
        </w:rPr>
        <w:t>gravillon</w:t>
      </w:r>
    </w:p>
    <w:p w:rsidR="00684433" w:rsidRPr="005019B6" w:rsidRDefault="00684433" w:rsidP="00BA2BBB">
      <w:pPr>
        <w:autoSpaceDE w:val="0"/>
        <w:autoSpaceDN w:val="0"/>
        <w:adjustRightInd w:val="0"/>
        <w:spacing w:line="240" w:lineRule="auto"/>
        <w:jc w:val="center"/>
        <w:rPr>
          <w:b/>
          <w:sz w:val="52"/>
          <w:szCs w:val="52"/>
          <w:u w:val="single"/>
        </w:rPr>
      </w:pPr>
    </w:p>
    <w:p w:rsidR="00D7782D" w:rsidRDefault="00D7782D" w:rsidP="00E341E3">
      <w:pPr>
        <w:spacing w:line="240" w:lineRule="auto"/>
      </w:pPr>
      <w:r w:rsidRPr="00D7782D">
        <w:rPr>
          <w:u w:val="single"/>
        </w:rPr>
        <w:t>Version logicielle :</w:t>
      </w:r>
      <w:r w:rsidR="00BA2BBB">
        <w:t xml:space="preserve">    </w:t>
      </w:r>
      <w:r w:rsidR="00513B6C">
        <w:t xml:space="preserve">Labo </w:t>
      </w:r>
      <w:proofErr w:type="gramStart"/>
      <w:r w:rsidR="00513B6C">
        <w:t>Béton</w:t>
      </w:r>
      <w:r w:rsidR="00C91564">
        <w:t xml:space="preserve">  version</w:t>
      </w:r>
      <w:proofErr w:type="gramEnd"/>
      <w:r w:rsidR="00C91564">
        <w:t xml:space="preserve">  </w:t>
      </w:r>
      <w:r w:rsidR="00513B6C">
        <w:t>2</w:t>
      </w:r>
      <w:r w:rsidR="00C91564">
        <w:t>.0</w:t>
      </w:r>
    </w:p>
    <w:p w:rsidR="00D7782D" w:rsidRPr="00D7782D" w:rsidRDefault="00D7782D" w:rsidP="00E341E3">
      <w:pPr>
        <w:spacing w:line="240" w:lineRule="auto"/>
        <w:rPr>
          <w:u w:val="single"/>
        </w:rPr>
      </w:pPr>
      <w:r w:rsidRPr="00D7782D">
        <w:rPr>
          <w:u w:val="single"/>
        </w:rPr>
        <w:t>Commentaire :</w:t>
      </w:r>
    </w:p>
    <w:p w:rsidR="0092130D" w:rsidRDefault="0092130D" w:rsidP="0092130D">
      <w:r>
        <w:t>Le coefficient d’absorption caractérise la quantité d’eau qui va être absorbée par les pores du granulat.</w:t>
      </w:r>
    </w:p>
    <w:p w:rsidR="0092130D" w:rsidRDefault="0092130D" w:rsidP="0092130D">
      <w:r>
        <w:t>Chaque granulat possède sa propre caractéristique d’absorption en fonction de la nature de sa porosité. A titre d’exemple et d’ordre de grandeur, un sable peut avoir un coefficient d’absorption de l’ordre de 1% et un gravillon 5/15 alluvionnaire, un coefficient d’absorption d’environ 0,15%.</w:t>
      </w:r>
    </w:p>
    <w:p w:rsidR="0092130D" w:rsidRDefault="0092130D" w:rsidP="0092130D">
      <w:r>
        <w:t>Cette absorption va donc retrancher l’eau nécessaire à l’hydratation de la pâte de ciment et à l’ouvrabilité du béton. Il en est donc tenu compte dans la quantité d’eau calculée. Cette dernière figure sous le terme d’Eau Efficace, terme calculé dans le cadre de la méthode Baron-Ollivier et figurant dans les spécifications de l’EN206-1 (raison de plus pour préférer cette dernière méthode à la méthode Dreux-</w:t>
      </w:r>
      <w:proofErr w:type="spellStart"/>
      <w:r>
        <w:t>Gorisse</w:t>
      </w:r>
      <w:proofErr w:type="spellEnd"/>
      <w:r>
        <w:t>).</w:t>
      </w:r>
    </w:p>
    <w:p w:rsidR="0092130D" w:rsidRDefault="0092130D" w:rsidP="0092130D">
      <w:r>
        <w:t xml:space="preserve">Voir exemples au </w:t>
      </w:r>
      <w:r w:rsidRPr="00AB6D6E">
        <w:rPr>
          <w:color w:val="0000FF"/>
        </w:rPr>
        <w:t>§</w:t>
      </w:r>
      <w:r w:rsidRPr="00AB6D6E">
        <w:rPr>
          <w:color w:val="0000FF"/>
        </w:rPr>
        <w:fldChar w:fldCharType="begin"/>
      </w:r>
      <w:r w:rsidRPr="00AB6D6E">
        <w:rPr>
          <w:color w:val="0000FF"/>
        </w:rPr>
        <w:instrText xml:space="preserve"> REF _Ref233021292 \r \h </w:instrText>
      </w:r>
      <w:r w:rsidRPr="00AB6D6E">
        <w:rPr>
          <w:color w:val="0000FF"/>
        </w:rPr>
      </w:r>
      <w:r>
        <w:rPr>
          <w:color w:val="0000FF"/>
        </w:rPr>
        <w:instrText xml:space="preserve"> \* MERGEFORMAT </w:instrText>
      </w:r>
      <w:r w:rsidRPr="00AB6D6E">
        <w:rPr>
          <w:color w:val="0000FF"/>
        </w:rPr>
        <w:fldChar w:fldCharType="separate"/>
      </w:r>
      <w:r w:rsidRPr="00AB6D6E">
        <w:rPr>
          <w:color w:val="0000FF"/>
        </w:rPr>
        <w:t>4.4.3.7</w:t>
      </w:r>
      <w:r w:rsidRPr="00AB6D6E">
        <w:rPr>
          <w:color w:val="0000FF"/>
        </w:rPr>
        <w:fldChar w:fldCharType="end"/>
      </w:r>
      <w:r w:rsidRPr="00AB6D6E">
        <w:rPr>
          <w:color w:val="0000FF"/>
        </w:rPr>
        <w:t xml:space="preserve"> - </w:t>
      </w:r>
      <w:r w:rsidRPr="00AB6D6E">
        <w:rPr>
          <w:color w:val="0000FF"/>
        </w:rPr>
        <w:fldChar w:fldCharType="begin"/>
      </w:r>
      <w:r w:rsidRPr="00AB6D6E">
        <w:rPr>
          <w:color w:val="0000FF"/>
        </w:rPr>
        <w:instrText xml:space="preserve"> REF _Ref233021292 \h </w:instrText>
      </w:r>
      <w:r w:rsidRPr="00AB6D6E">
        <w:rPr>
          <w:color w:val="0000FF"/>
        </w:rPr>
      </w:r>
      <w:r>
        <w:rPr>
          <w:color w:val="0000FF"/>
        </w:rPr>
        <w:instrText xml:space="preserve"> \* MERGEFORMAT </w:instrText>
      </w:r>
      <w:r w:rsidRPr="00AB6D6E">
        <w:rPr>
          <w:color w:val="0000FF"/>
        </w:rPr>
        <w:fldChar w:fldCharType="separate"/>
      </w:r>
      <w:r w:rsidRPr="00AB6D6E">
        <w:rPr>
          <w:color w:val="0000FF"/>
        </w:rPr>
        <w:t>Coefficient d’absorption</w:t>
      </w:r>
      <w:r w:rsidRPr="00AB6D6E">
        <w:rPr>
          <w:color w:val="0000FF"/>
        </w:rPr>
        <w:fldChar w:fldCharType="end"/>
      </w:r>
      <w:r w:rsidRPr="00AB6D6E">
        <w:rPr>
          <w:color w:val="0000FF"/>
        </w:rPr>
        <w:t xml:space="preserve"> page </w:t>
      </w:r>
      <w:r w:rsidRPr="00AB6D6E">
        <w:rPr>
          <w:color w:val="0000FF"/>
        </w:rPr>
        <w:fldChar w:fldCharType="begin"/>
      </w:r>
      <w:r w:rsidRPr="00AB6D6E">
        <w:rPr>
          <w:color w:val="0000FF"/>
        </w:rPr>
        <w:instrText xml:space="preserve"> PAGEREF _Ref233021292 \h </w:instrText>
      </w:r>
      <w:r w:rsidRPr="00AB6D6E">
        <w:rPr>
          <w:color w:val="0000FF"/>
        </w:rPr>
      </w:r>
      <w:r w:rsidRPr="00AB6D6E">
        <w:rPr>
          <w:color w:val="0000FF"/>
        </w:rPr>
        <w:fldChar w:fldCharType="separate"/>
      </w:r>
      <w:r w:rsidRPr="00AB6D6E">
        <w:rPr>
          <w:noProof/>
          <w:color w:val="0000FF"/>
        </w:rPr>
        <w:t>56</w:t>
      </w:r>
      <w:r w:rsidRPr="00AB6D6E">
        <w:rPr>
          <w:color w:val="0000FF"/>
        </w:rPr>
        <w:fldChar w:fldCharType="end"/>
      </w:r>
      <w:r>
        <w:t xml:space="preserve"> de la présente notice pour le calcul de l’eau de </w:t>
      </w:r>
      <w:proofErr w:type="spellStart"/>
      <w:r>
        <w:t>gachage</w:t>
      </w:r>
      <w:proofErr w:type="spellEnd"/>
      <w:r>
        <w:t xml:space="preserve"> en tenant compte ou pas du coefficient d’absorption.</w:t>
      </w:r>
    </w:p>
    <w:p w:rsidR="0092130D" w:rsidRDefault="0092130D" w:rsidP="0092130D">
      <w:r>
        <w:t>Dans le cadre de la méthode de formulation Dreux-</w:t>
      </w:r>
      <w:proofErr w:type="spellStart"/>
      <w:r>
        <w:t>Gorisse</w:t>
      </w:r>
      <w:proofErr w:type="spellEnd"/>
      <w:r>
        <w:t>, ce coefficient n’apparait pas car il est seulement tenu compte de la teneur en humidité du granulat.</w:t>
      </w:r>
    </w:p>
    <w:p w:rsidR="00D7782D" w:rsidRDefault="00D7782D" w:rsidP="00E341E3">
      <w:pPr>
        <w:spacing w:line="240" w:lineRule="auto"/>
      </w:pPr>
      <w:bookmarkStart w:id="0" w:name="_GoBack"/>
      <w:bookmarkEnd w:id="0"/>
      <w:r w:rsidRPr="00D7782D">
        <w:rPr>
          <w:u w:val="single"/>
        </w:rPr>
        <w:t>Dernière mise à jour :</w:t>
      </w:r>
      <w:r w:rsidR="00B14982">
        <w:t xml:space="preserve"> </w:t>
      </w:r>
      <w:r w:rsidR="00BA2BBB">
        <w:t xml:space="preserve"> </w:t>
      </w:r>
      <w:r w:rsidR="00AA0DED">
        <w:t xml:space="preserve"> </w:t>
      </w:r>
      <w:r w:rsidR="00333365">
        <w:t>17 juin 2026</w:t>
      </w:r>
    </w:p>
    <w:p w:rsidR="00D7782D" w:rsidRPr="00D7782D" w:rsidRDefault="00D7782D" w:rsidP="00E341E3">
      <w:pPr>
        <w:spacing w:line="240" w:lineRule="auto"/>
        <w:rPr>
          <w:u w:val="single"/>
        </w:rPr>
      </w:pPr>
      <w:r w:rsidRPr="00D7782D">
        <w:rPr>
          <w:u w:val="single"/>
        </w:rPr>
        <w:t>Bibliographie :</w:t>
      </w:r>
    </w:p>
    <w:p w:rsidR="00C97066" w:rsidRDefault="00C97066" w:rsidP="00333365">
      <w:pPr>
        <w:pStyle w:val="Paragraphedeliste"/>
        <w:numPr>
          <w:ilvl w:val="0"/>
          <w:numId w:val="1"/>
        </w:numPr>
        <w:spacing w:line="240" w:lineRule="auto"/>
      </w:pPr>
      <w:r>
        <w:t>« Nouveau guide du béton et de ses constituants » - 8</w:t>
      </w:r>
      <w:r w:rsidRPr="005B5122">
        <w:rPr>
          <w:vertAlign w:val="superscript"/>
        </w:rPr>
        <w:t>ième</w:t>
      </w:r>
      <w:r>
        <w:t xml:space="preserve"> édition 1998 3</w:t>
      </w:r>
      <w:r w:rsidRPr="00D75B78">
        <w:rPr>
          <w:vertAlign w:val="superscript"/>
        </w:rPr>
        <w:t>ième</w:t>
      </w:r>
      <w:r>
        <w:t xml:space="preserve"> tirage 2007 – G. Dreux &amp; J. </w:t>
      </w:r>
      <w:proofErr w:type="spellStart"/>
      <w:r>
        <w:t>Festa</w:t>
      </w:r>
      <w:proofErr w:type="spellEnd"/>
      <w:r>
        <w:t xml:space="preserve">- Edition Eyrolles  </w:t>
      </w:r>
    </w:p>
    <w:p w:rsidR="009B79DA" w:rsidRDefault="00333365" w:rsidP="00333365">
      <w:pPr>
        <w:pStyle w:val="Paragraphedeliste"/>
        <w:numPr>
          <w:ilvl w:val="0"/>
          <w:numId w:val="1"/>
        </w:numPr>
        <w:spacing w:line="240" w:lineRule="auto"/>
      </w:pPr>
      <w:r w:rsidRPr="00DA113E">
        <w:t xml:space="preserve">« Les bétons – Bases et données pour leur formulation » écrit sous la direction de Jacques Baron et </w:t>
      </w:r>
      <w:proofErr w:type="spellStart"/>
      <w:r w:rsidRPr="00DA113E">
        <w:t>Jean-pierre</w:t>
      </w:r>
      <w:proofErr w:type="spellEnd"/>
      <w:r w:rsidRPr="00DA113E">
        <w:t xml:space="preserve"> Ollivier et paru aux Editions Eyrolles</w:t>
      </w:r>
      <w:r>
        <w:t xml:space="preserve"> 1996</w:t>
      </w:r>
    </w:p>
    <w:p w:rsidR="00333365" w:rsidRDefault="00333365" w:rsidP="00333365">
      <w:pPr>
        <w:pStyle w:val="Paragraphedeliste"/>
        <w:numPr>
          <w:ilvl w:val="0"/>
          <w:numId w:val="1"/>
        </w:numPr>
        <w:spacing w:line="240" w:lineRule="auto"/>
      </w:pPr>
      <w:r>
        <w:t xml:space="preserve">« Le matériau béton : Connaissances générales » - Collection Les cours de l’ENTPE – G. </w:t>
      </w:r>
      <w:proofErr w:type="spellStart"/>
      <w:r>
        <w:t>Chanvillard</w:t>
      </w:r>
      <w:proofErr w:type="spellEnd"/>
      <w:r>
        <w:t xml:space="preserve"> - Edition ENTPE ALEAS 1999</w:t>
      </w:r>
    </w:p>
    <w:sectPr w:rsidR="00333365" w:rsidSect="00740B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Shell Dlg 2">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FE2182E"/>
    <w:lvl w:ilvl="0">
      <w:numFmt w:val="bullet"/>
      <w:lvlText w:val="*"/>
      <w:lvlJc w:val="left"/>
    </w:lvl>
  </w:abstractNum>
  <w:abstractNum w:abstractNumId="1" w15:restartNumberingAfterBreak="0">
    <w:nsid w:val="0D88426A"/>
    <w:multiLevelType w:val="hybridMultilevel"/>
    <w:tmpl w:val="2D6AA8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C8083C"/>
    <w:multiLevelType w:val="hybridMultilevel"/>
    <w:tmpl w:val="328EC3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3F58B6"/>
    <w:multiLevelType w:val="hybridMultilevel"/>
    <w:tmpl w:val="30047D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360319"/>
    <w:multiLevelType w:val="hybridMultilevel"/>
    <w:tmpl w:val="1A7425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553190"/>
    <w:multiLevelType w:val="hybridMultilevel"/>
    <w:tmpl w:val="3CC836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5463BF"/>
    <w:multiLevelType w:val="hybridMultilevel"/>
    <w:tmpl w:val="CC765C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34401CA"/>
    <w:multiLevelType w:val="hybridMultilevel"/>
    <w:tmpl w:val="836AEF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4346563"/>
    <w:multiLevelType w:val="hybridMultilevel"/>
    <w:tmpl w:val="B3F67A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2974F3"/>
    <w:multiLevelType w:val="hybridMultilevel"/>
    <w:tmpl w:val="DA602D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5B4A08"/>
    <w:multiLevelType w:val="hybridMultilevel"/>
    <w:tmpl w:val="26A4D42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BAB4B10"/>
    <w:multiLevelType w:val="hybridMultilevel"/>
    <w:tmpl w:val="BB3EE4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66B43F1"/>
    <w:multiLevelType w:val="hybridMultilevel"/>
    <w:tmpl w:val="5428EC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13A4AFC"/>
    <w:multiLevelType w:val="hybridMultilevel"/>
    <w:tmpl w:val="D146F1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78D61D8"/>
    <w:multiLevelType w:val="hybridMultilevel"/>
    <w:tmpl w:val="CBFAE1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8D20157"/>
    <w:multiLevelType w:val="hybridMultilevel"/>
    <w:tmpl w:val="44C22F12"/>
    <w:lvl w:ilvl="0" w:tplc="7278DA8C">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6" w15:restartNumberingAfterBreak="0">
    <w:nsid w:val="76EC0FB0"/>
    <w:multiLevelType w:val="hybridMultilevel"/>
    <w:tmpl w:val="1CF2F8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D3C4492"/>
    <w:multiLevelType w:val="hybridMultilevel"/>
    <w:tmpl w:val="97C83A9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0"/>
    <w:lvlOverride w:ilvl="0">
      <w:lvl w:ilvl="0">
        <w:numFmt w:val="bullet"/>
        <w:lvlText w:val=""/>
        <w:legacy w:legacy="1" w:legacySpace="50" w:legacyIndent="0"/>
        <w:lvlJc w:val="left"/>
        <w:pPr>
          <w:ind w:left="300" w:firstLine="0"/>
        </w:pPr>
        <w:rPr>
          <w:rFonts w:ascii="Symbol" w:hAnsi="Symbol" w:hint="default"/>
        </w:rPr>
      </w:lvl>
    </w:lvlOverride>
  </w:num>
  <w:num w:numId="4">
    <w:abstractNumId w:val="7"/>
  </w:num>
  <w:num w:numId="5">
    <w:abstractNumId w:val="1"/>
  </w:num>
  <w:num w:numId="6">
    <w:abstractNumId w:val="6"/>
  </w:num>
  <w:num w:numId="7">
    <w:abstractNumId w:val="11"/>
  </w:num>
  <w:num w:numId="8">
    <w:abstractNumId w:val="13"/>
  </w:num>
  <w:num w:numId="9">
    <w:abstractNumId w:val="5"/>
  </w:num>
  <w:num w:numId="10">
    <w:abstractNumId w:val="9"/>
  </w:num>
  <w:num w:numId="11">
    <w:abstractNumId w:val="10"/>
  </w:num>
  <w:num w:numId="12">
    <w:abstractNumId w:val="12"/>
  </w:num>
  <w:num w:numId="13">
    <w:abstractNumId w:val="14"/>
  </w:num>
  <w:num w:numId="14">
    <w:abstractNumId w:val="15"/>
  </w:num>
  <w:num w:numId="15">
    <w:abstractNumId w:val="16"/>
  </w:num>
  <w:num w:numId="16">
    <w:abstractNumId w:val="3"/>
  </w:num>
  <w:num w:numId="17">
    <w:abstractNumId w:val="4"/>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1E3"/>
    <w:rsid w:val="000176E2"/>
    <w:rsid w:val="00025571"/>
    <w:rsid w:val="00033C0C"/>
    <w:rsid w:val="00092135"/>
    <w:rsid w:val="00093CF0"/>
    <w:rsid w:val="000F205A"/>
    <w:rsid w:val="000F5E43"/>
    <w:rsid w:val="00113421"/>
    <w:rsid w:val="0016643A"/>
    <w:rsid w:val="0020662B"/>
    <w:rsid w:val="002528E7"/>
    <w:rsid w:val="00285019"/>
    <w:rsid w:val="00296481"/>
    <w:rsid w:val="002A3FC4"/>
    <w:rsid w:val="002F0BE2"/>
    <w:rsid w:val="00333365"/>
    <w:rsid w:val="00356AC9"/>
    <w:rsid w:val="005019B6"/>
    <w:rsid w:val="00513B6C"/>
    <w:rsid w:val="005621A4"/>
    <w:rsid w:val="005A4BAF"/>
    <w:rsid w:val="005E7160"/>
    <w:rsid w:val="00606B1F"/>
    <w:rsid w:val="0062461C"/>
    <w:rsid w:val="00684433"/>
    <w:rsid w:val="006E2FC9"/>
    <w:rsid w:val="0070207B"/>
    <w:rsid w:val="00723814"/>
    <w:rsid w:val="00740B0C"/>
    <w:rsid w:val="00773FFF"/>
    <w:rsid w:val="00780844"/>
    <w:rsid w:val="007E4335"/>
    <w:rsid w:val="008E3454"/>
    <w:rsid w:val="008F6CB7"/>
    <w:rsid w:val="00902D2C"/>
    <w:rsid w:val="0092130D"/>
    <w:rsid w:val="00923F20"/>
    <w:rsid w:val="009306D1"/>
    <w:rsid w:val="00946577"/>
    <w:rsid w:val="0096305B"/>
    <w:rsid w:val="00983E27"/>
    <w:rsid w:val="009B79DA"/>
    <w:rsid w:val="00A55C81"/>
    <w:rsid w:val="00A85F1B"/>
    <w:rsid w:val="00AA0DED"/>
    <w:rsid w:val="00AC4C8B"/>
    <w:rsid w:val="00AC795F"/>
    <w:rsid w:val="00B14982"/>
    <w:rsid w:val="00BA2BBB"/>
    <w:rsid w:val="00BB2E99"/>
    <w:rsid w:val="00BD179B"/>
    <w:rsid w:val="00BE392A"/>
    <w:rsid w:val="00C007D4"/>
    <w:rsid w:val="00C163E6"/>
    <w:rsid w:val="00C91564"/>
    <w:rsid w:val="00C97066"/>
    <w:rsid w:val="00CB2066"/>
    <w:rsid w:val="00CF7A2F"/>
    <w:rsid w:val="00D447BA"/>
    <w:rsid w:val="00D7202E"/>
    <w:rsid w:val="00D7782D"/>
    <w:rsid w:val="00D8287A"/>
    <w:rsid w:val="00E32643"/>
    <w:rsid w:val="00E341E3"/>
    <w:rsid w:val="00E90F9F"/>
    <w:rsid w:val="00EC1B70"/>
    <w:rsid w:val="00ED1818"/>
    <w:rsid w:val="00EE2A24"/>
    <w:rsid w:val="00EF1D5B"/>
    <w:rsid w:val="00F060F6"/>
    <w:rsid w:val="00F8595D"/>
    <w:rsid w:val="00F91A47"/>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94461"/>
  <w15:docId w15:val="{5A9ED1EB-C8A6-41D4-97E4-7B8CBE6A2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7782D"/>
    <w:pPr>
      <w:ind w:left="720"/>
      <w:contextualSpacing/>
    </w:pPr>
  </w:style>
  <w:style w:type="paragraph" w:styleId="Textedebulles">
    <w:name w:val="Balloon Text"/>
    <w:basedOn w:val="Normal"/>
    <w:link w:val="TextedebullesCar"/>
    <w:uiPriority w:val="99"/>
    <w:semiHidden/>
    <w:unhideWhenUsed/>
    <w:rsid w:val="00B1498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14982"/>
    <w:rPr>
      <w:rFonts w:ascii="Tahoma" w:hAnsi="Tahoma" w:cs="Tahoma"/>
      <w:sz w:val="16"/>
      <w:szCs w:val="16"/>
    </w:rPr>
  </w:style>
  <w:style w:type="paragraph" w:styleId="Lgende">
    <w:name w:val="caption"/>
    <w:basedOn w:val="Normal"/>
    <w:next w:val="Normal"/>
    <w:uiPriority w:val="35"/>
    <w:unhideWhenUsed/>
    <w:qFormat/>
    <w:rsid w:val="00780844"/>
    <w:pPr>
      <w:spacing w:line="240" w:lineRule="auto"/>
    </w:pPr>
    <w:rPr>
      <w:b/>
      <w:bCs/>
      <w:color w:val="4F81BD" w:themeColor="accent1"/>
      <w:sz w:val="18"/>
      <w:szCs w:val="18"/>
    </w:rPr>
  </w:style>
  <w:style w:type="character" w:styleId="Lienhypertexte">
    <w:name w:val="Hyperlink"/>
    <w:basedOn w:val="Policepardfaut"/>
    <w:uiPriority w:val="99"/>
    <w:rsid w:val="000176E2"/>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282</Words>
  <Characters>1557</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fux</dc:creator>
  <cp:lastModifiedBy>p_dejean@orange.fr</cp:lastModifiedBy>
  <cp:revision>9</cp:revision>
  <dcterms:created xsi:type="dcterms:W3CDTF">2025-11-16T14:41:00Z</dcterms:created>
  <dcterms:modified xsi:type="dcterms:W3CDTF">2026-06-22T09:58:00Z</dcterms:modified>
</cp:coreProperties>
</file>